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71"/>
        <w:tblW w:w="11340" w:type="dxa"/>
        <w:tblLook w:val="01E0" w:firstRow="1" w:lastRow="1" w:firstColumn="1" w:lastColumn="1" w:noHBand="0" w:noVBand="0"/>
      </w:tblPr>
      <w:tblGrid>
        <w:gridCol w:w="6021"/>
        <w:gridCol w:w="5319"/>
      </w:tblGrid>
      <w:tr w:rsidR="00D3769A" w:rsidRPr="003712A5" w14:paraId="672A6659" w14:textId="77777777" w:rsidTr="15734CFB">
        <w:trPr>
          <w:trHeight w:val="1350"/>
        </w:trPr>
        <w:tc>
          <w:tcPr>
            <w:tcW w:w="5806" w:type="dxa"/>
          </w:tcPr>
          <w:p w14:paraId="0A37501D" w14:textId="77777777" w:rsidR="00D27622" w:rsidRPr="003712A5" w:rsidRDefault="00CE0D9C" w:rsidP="00B14FA4">
            <w:pPr>
              <w:pStyle w:val="Title"/>
              <w:jc w:val="left"/>
              <w:rPr>
                <w:rFonts w:ascii="Calibri" w:hAnsi="Calibri" w:cs="Calibri"/>
                <w:b w:val="0"/>
                <w:color w:val="000000"/>
                <w:sz w:val="23"/>
                <w:szCs w:val="23"/>
              </w:rPr>
            </w:pPr>
            <w:bookmarkStart w:id="0" w:name="_GoBack"/>
            <w:bookmarkEnd w:id="0"/>
            <w:r>
              <w:rPr>
                <w:noProof/>
              </w:rPr>
              <w:drawing>
                <wp:inline distT="0" distB="0" distL="0" distR="0" wp14:anchorId="0EA26905" wp14:editId="18D8F700">
                  <wp:extent cx="3686175" cy="762000"/>
                  <wp:effectExtent l="0" t="0" r="0" b="0"/>
                  <wp:docPr id="2088205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6175" cy="762000"/>
                          </a:xfrm>
                          <a:prstGeom prst="rect">
                            <a:avLst/>
                          </a:prstGeom>
                        </pic:spPr>
                      </pic:pic>
                    </a:graphicData>
                  </a:graphic>
                </wp:inline>
              </w:drawing>
            </w:r>
          </w:p>
        </w:tc>
        <w:tc>
          <w:tcPr>
            <w:tcW w:w="5534" w:type="dxa"/>
          </w:tcPr>
          <w:p w14:paraId="5DAB6C7B" w14:textId="77777777" w:rsidR="00D27622" w:rsidRPr="003712A5" w:rsidRDefault="00D27622" w:rsidP="00B14FA4">
            <w:pPr>
              <w:pStyle w:val="NormalWeb"/>
              <w:spacing w:before="0" w:beforeAutospacing="0" w:after="0" w:afterAutospacing="0"/>
              <w:rPr>
                <w:rFonts w:ascii="Calibri" w:hAnsi="Calibri" w:cs="Calibri"/>
                <w:sz w:val="23"/>
                <w:szCs w:val="23"/>
              </w:rPr>
            </w:pPr>
          </w:p>
        </w:tc>
      </w:tr>
    </w:tbl>
    <w:p w14:paraId="02EB378F" w14:textId="77777777" w:rsidR="003C04AB" w:rsidRPr="003712A5" w:rsidRDefault="003C04AB" w:rsidP="00B14FA4">
      <w:pPr>
        <w:autoSpaceDE w:val="0"/>
        <w:autoSpaceDN w:val="0"/>
        <w:adjustRightInd w:val="0"/>
        <w:jc w:val="left"/>
        <w:rPr>
          <w:rFonts w:ascii="Calibri" w:hAnsi="Calibri" w:cs="Calibri"/>
          <w:b/>
          <w:bCs/>
          <w:color w:val="000000"/>
          <w:spacing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8887"/>
      </w:tblGrid>
      <w:tr w:rsidR="003F1F18" w:rsidRPr="003712A5" w14:paraId="3190EE7E" w14:textId="77777777" w:rsidTr="15734CFB">
        <w:tc>
          <w:tcPr>
            <w:tcW w:w="1908" w:type="dxa"/>
            <w:shd w:val="clear" w:color="auto" w:fill="auto"/>
          </w:tcPr>
          <w:p w14:paraId="31FDE3C9"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Position Title</w:t>
            </w:r>
          </w:p>
        </w:tc>
        <w:tc>
          <w:tcPr>
            <w:tcW w:w="9108" w:type="dxa"/>
            <w:shd w:val="clear" w:color="auto" w:fill="auto"/>
          </w:tcPr>
          <w:p w14:paraId="2C4E782F"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Cs/>
                <w:color w:val="000000"/>
                <w:spacing w:val="0"/>
                <w:sz w:val="23"/>
                <w:szCs w:val="23"/>
              </w:rPr>
              <w:t>Youth Mediation Coordinator</w:t>
            </w:r>
          </w:p>
        </w:tc>
      </w:tr>
      <w:tr w:rsidR="00B14FA4" w:rsidRPr="003712A5" w14:paraId="41B86DE5" w14:textId="77777777" w:rsidTr="15734CFB">
        <w:tc>
          <w:tcPr>
            <w:tcW w:w="1908" w:type="dxa"/>
            <w:shd w:val="clear" w:color="auto" w:fill="auto"/>
          </w:tcPr>
          <w:p w14:paraId="3FD0D66D" w14:textId="77777777" w:rsidR="00B14FA4" w:rsidRPr="003712A5" w:rsidRDefault="00B14FA4"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Posting Date</w:t>
            </w:r>
          </w:p>
        </w:tc>
        <w:tc>
          <w:tcPr>
            <w:tcW w:w="9108" w:type="dxa"/>
            <w:shd w:val="clear" w:color="auto" w:fill="auto"/>
          </w:tcPr>
          <w:p w14:paraId="1EEDF2D6" w14:textId="77777777" w:rsidR="00B14FA4" w:rsidRPr="003712A5" w:rsidRDefault="00B14FA4" w:rsidP="003712A5">
            <w:pPr>
              <w:autoSpaceDE w:val="0"/>
              <w:autoSpaceDN w:val="0"/>
              <w:adjustRightInd w:val="0"/>
              <w:jc w:val="left"/>
              <w:rPr>
                <w:rFonts w:ascii="Calibri" w:hAnsi="Calibri" w:cs="Calibri"/>
                <w:bCs/>
                <w:color w:val="000000"/>
                <w:spacing w:val="0"/>
                <w:sz w:val="23"/>
                <w:szCs w:val="23"/>
              </w:rPr>
            </w:pPr>
            <w:r w:rsidRPr="003712A5">
              <w:rPr>
                <w:rFonts w:ascii="Calibri" w:hAnsi="Calibri" w:cs="Calibri"/>
                <w:bCs/>
                <w:color w:val="000000"/>
                <w:spacing w:val="0"/>
                <w:sz w:val="23"/>
                <w:szCs w:val="23"/>
              </w:rPr>
              <w:t>April 24, 2020</w:t>
            </w:r>
          </w:p>
        </w:tc>
      </w:tr>
      <w:tr w:rsidR="003F1F18" w:rsidRPr="003712A5" w14:paraId="4296CF3C" w14:textId="77777777" w:rsidTr="15734CFB">
        <w:tc>
          <w:tcPr>
            <w:tcW w:w="1908" w:type="dxa"/>
            <w:shd w:val="clear" w:color="auto" w:fill="auto"/>
          </w:tcPr>
          <w:p w14:paraId="30160CBA"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Overall Description</w:t>
            </w:r>
          </w:p>
        </w:tc>
        <w:tc>
          <w:tcPr>
            <w:tcW w:w="9108" w:type="dxa"/>
            <w:shd w:val="clear" w:color="auto" w:fill="auto"/>
          </w:tcPr>
          <w:p w14:paraId="0BA306D0"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color w:val="000000"/>
                <w:spacing w:val="0"/>
                <w:sz w:val="23"/>
                <w:szCs w:val="23"/>
              </w:rPr>
              <w:t xml:space="preserve">The Youth Mediation Coordinator is responsible for the overall operation and success of The Mediation Center’s programs for youth.  This includes providing conflict resolution services to youth, maintaining and growing a big network of community connections, and managing administrative aspects of grant reporting and program management.  </w:t>
            </w:r>
          </w:p>
        </w:tc>
      </w:tr>
      <w:tr w:rsidR="003F1F18" w:rsidRPr="003712A5" w14:paraId="133C0E4C" w14:textId="77777777" w:rsidTr="15734CFB">
        <w:tc>
          <w:tcPr>
            <w:tcW w:w="1908" w:type="dxa"/>
            <w:shd w:val="clear" w:color="auto" w:fill="auto"/>
          </w:tcPr>
          <w:p w14:paraId="564BC8B9"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Agency Description</w:t>
            </w:r>
          </w:p>
        </w:tc>
        <w:tc>
          <w:tcPr>
            <w:tcW w:w="9108" w:type="dxa"/>
            <w:shd w:val="clear" w:color="auto" w:fill="auto"/>
          </w:tcPr>
          <w:p w14:paraId="1648F83F"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color w:val="000000"/>
                <w:spacing w:val="0"/>
                <w:sz w:val="23"/>
                <w:szCs w:val="23"/>
              </w:rPr>
              <w:t>The Mediation Center is a 501(3)c nonprofit founded in 1984.  We provide mediation, conflict resolution skills training, and supervised child visitation in Buncombe, Henderson, Transylvania, and Polk Counties of Western North Carolina.  We believe that conflict is a normal part of life, and that people know what’s best in their own lives.  By offering non-judgmental and confidential conflict resolution and supervised visitation services we create a safer and more peaceful community for everyone.</w:t>
            </w:r>
          </w:p>
        </w:tc>
      </w:tr>
      <w:tr w:rsidR="003F1F18" w:rsidRPr="003712A5" w14:paraId="6C30126D" w14:textId="77777777" w:rsidTr="15734CFB">
        <w:tc>
          <w:tcPr>
            <w:tcW w:w="1908" w:type="dxa"/>
            <w:shd w:val="clear" w:color="auto" w:fill="auto"/>
          </w:tcPr>
          <w:p w14:paraId="57890E44"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color w:val="000000"/>
                <w:spacing w:val="0"/>
                <w:sz w:val="23"/>
                <w:szCs w:val="23"/>
              </w:rPr>
              <w:t>Primary Areas of Responsibility</w:t>
            </w:r>
          </w:p>
        </w:tc>
        <w:tc>
          <w:tcPr>
            <w:tcW w:w="9108" w:type="dxa"/>
            <w:shd w:val="clear" w:color="auto" w:fill="auto"/>
          </w:tcPr>
          <w:p w14:paraId="323A3F35"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Mediation and Conflict Resolution Skill Building</w:t>
            </w:r>
          </w:p>
          <w:p w14:paraId="540308AF" w14:textId="77777777" w:rsidR="003F1F18" w:rsidRPr="003712A5" w:rsidRDefault="003F1F18" w:rsidP="003712A5">
            <w:pPr>
              <w:numPr>
                <w:ilvl w:val="0"/>
                <w:numId w:val="30"/>
              </w:numPr>
              <w:autoSpaceDE w:val="0"/>
              <w:autoSpaceDN w:val="0"/>
              <w:adjustRightInd w:val="0"/>
              <w:ind w:left="360"/>
              <w:jc w:val="left"/>
              <w:rPr>
                <w:rFonts w:ascii="Calibri" w:hAnsi="Calibri" w:cs="Calibri"/>
                <w:color w:val="000000"/>
                <w:spacing w:val="0"/>
                <w:sz w:val="23"/>
                <w:szCs w:val="23"/>
              </w:rPr>
            </w:pPr>
            <w:r w:rsidRPr="003712A5">
              <w:rPr>
                <w:rFonts w:ascii="Calibri" w:hAnsi="Calibri" w:cs="Calibri"/>
                <w:color w:val="000000"/>
                <w:spacing w:val="0"/>
                <w:sz w:val="23"/>
                <w:szCs w:val="23"/>
              </w:rPr>
              <w:t xml:space="preserve">Provide mediation and conflict resolution skill building to diverse youth in Henderson and Transylvania counties.  Most services are provided at schools during the school day.  </w:t>
            </w:r>
          </w:p>
          <w:p w14:paraId="0C102E3B" w14:textId="77777777" w:rsidR="00B14FA4" w:rsidRPr="003712A5" w:rsidRDefault="003F1F18" w:rsidP="003712A5">
            <w:pPr>
              <w:numPr>
                <w:ilvl w:val="0"/>
                <w:numId w:val="30"/>
              </w:numPr>
              <w:autoSpaceDE w:val="0"/>
              <w:autoSpaceDN w:val="0"/>
              <w:adjustRightInd w:val="0"/>
              <w:ind w:left="360"/>
              <w:jc w:val="left"/>
              <w:rPr>
                <w:rFonts w:ascii="Calibri" w:hAnsi="Calibri" w:cs="Calibri"/>
                <w:color w:val="000000"/>
                <w:spacing w:val="0"/>
                <w:sz w:val="23"/>
                <w:szCs w:val="23"/>
              </w:rPr>
            </w:pPr>
            <w:r w:rsidRPr="003712A5">
              <w:rPr>
                <w:rFonts w:ascii="Calibri" w:hAnsi="Calibri" w:cs="Calibri"/>
                <w:color w:val="000000"/>
                <w:spacing w:val="0"/>
                <w:sz w:val="23"/>
                <w:szCs w:val="23"/>
              </w:rPr>
              <w:t>Identify and take advantage of opportunities to expand the use of mediation and conflict resolution skills building services for court-involved and other under-served youth through building and maintaining strong community connections to referral sources and partners.</w:t>
            </w:r>
          </w:p>
          <w:p w14:paraId="71858A03" w14:textId="77777777" w:rsidR="003F1F18" w:rsidRPr="003712A5" w:rsidRDefault="003F1F18" w:rsidP="003712A5">
            <w:pPr>
              <w:numPr>
                <w:ilvl w:val="0"/>
                <w:numId w:val="30"/>
              </w:numPr>
              <w:autoSpaceDE w:val="0"/>
              <w:autoSpaceDN w:val="0"/>
              <w:adjustRightInd w:val="0"/>
              <w:ind w:left="360"/>
              <w:jc w:val="left"/>
              <w:rPr>
                <w:rFonts w:ascii="Calibri" w:hAnsi="Calibri" w:cs="Calibri"/>
                <w:color w:val="000000"/>
                <w:spacing w:val="0"/>
                <w:sz w:val="23"/>
                <w:szCs w:val="23"/>
              </w:rPr>
            </w:pPr>
            <w:r w:rsidRPr="003712A5">
              <w:rPr>
                <w:rFonts w:ascii="Calibri" w:hAnsi="Calibri" w:cs="Calibri"/>
                <w:color w:val="000000"/>
                <w:spacing w:val="0"/>
                <w:sz w:val="23"/>
                <w:szCs w:val="23"/>
              </w:rPr>
              <w:t>Provide conflict resolutions skills training to adults who work with youth</w:t>
            </w:r>
          </w:p>
          <w:p w14:paraId="602223B2" w14:textId="77777777" w:rsidR="003F1F18" w:rsidRPr="003712A5" w:rsidRDefault="003F1F18" w:rsidP="003712A5">
            <w:pPr>
              <w:numPr>
                <w:ilvl w:val="0"/>
                <w:numId w:val="30"/>
              </w:numPr>
              <w:autoSpaceDE w:val="0"/>
              <w:autoSpaceDN w:val="0"/>
              <w:adjustRightInd w:val="0"/>
              <w:ind w:left="360"/>
              <w:jc w:val="left"/>
              <w:rPr>
                <w:rFonts w:ascii="Calibri" w:hAnsi="Calibri" w:cs="Calibri"/>
                <w:color w:val="000000"/>
                <w:spacing w:val="0"/>
                <w:sz w:val="23"/>
                <w:szCs w:val="23"/>
              </w:rPr>
            </w:pPr>
            <w:r w:rsidRPr="003712A5">
              <w:rPr>
                <w:rFonts w:ascii="Calibri" w:hAnsi="Calibri" w:cs="Calibri"/>
                <w:color w:val="000000"/>
                <w:spacing w:val="0"/>
                <w:sz w:val="23"/>
                <w:szCs w:val="23"/>
              </w:rPr>
              <w:t>Develop and manage a team of peer mediators ages 14 to 19 who will be mediate conflicts involving youth and do program outreach.</w:t>
            </w:r>
          </w:p>
          <w:p w14:paraId="6A05A809" w14:textId="77777777" w:rsidR="003F1F18" w:rsidRPr="003712A5" w:rsidRDefault="003F1F18" w:rsidP="003712A5">
            <w:pPr>
              <w:autoSpaceDE w:val="0"/>
              <w:autoSpaceDN w:val="0"/>
              <w:adjustRightInd w:val="0"/>
              <w:ind w:left="360"/>
              <w:jc w:val="left"/>
              <w:rPr>
                <w:rFonts w:ascii="Calibri" w:hAnsi="Calibri" w:cs="Calibri"/>
                <w:b/>
                <w:color w:val="000000"/>
                <w:spacing w:val="0"/>
                <w:sz w:val="23"/>
                <w:szCs w:val="23"/>
              </w:rPr>
            </w:pPr>
          </w:p>
          <w:p w14:paraId="1177E357" w14:textId="77777777" w:rsidR="003F1F18" w:rsidRPr="003712A5" w:rsidRDefault="003F1F18" w:rsidP="003712A5">
            <w:pPr>
              <w:autoSpaceDE w:val="0"/>
              <w:autoSpaceDN w:val="0"/>
              <w:adjustRightInd w:val="0"/>
              <w:jc w:val="left"/>
              <w:rPr>
                <w:rFonts w:ascii="Calibri" w:hAnsi="Calibri" w:cs="Calibri"/>
                <w:b/>
                <w:color w:val="000000"/>
                <w:spacing w:val="0"/>
                <w:sz w:val="23"/>
                <w:szCs w:val="23"/>
              </w:rPr>
            </w:pPr>
            <w:r w:rsidRPr="003712A5">
              <w:rPr>
                <w:rFonts w:ascii="Calibri" w:hAnsi="Calibri" w:cs="Calibri"/>
                <w:b/>
                <w:color w:val="000000"/>
                <w:spacing w:val="0"/>
                <w:sz w:val="23"/>
                <w:szCs w:val="23"/>
              </w:rPr>
              <w:t>Program Coordination and Administration</w:t>
            </w:r>
          </w:p>
          <w:p w14:paraId="268182E7" w14:textId="1277E41E" w:rsidR="003F1F18" w:rsidRPr="003712A5" w:rsidRDefault="2521F1A6" w:rsidP="15734CFB">
            <w:pPr>
              <w:numPr>
                <w:ilvl w:val="0"/>
                <w:numId w:val="40"/>
              </w:numPr>
              <w:autoSpaceDE w:val="0"/>
              <w:autoSpaceDN w:val="0"/>
              <w:adjustRightInd w:val="0"/>
              <w:ind w:left="360"/>
              <w:jc w:val="left"/>
              <w:rPr>
                <w:rFonts w:ascii="Calibri" w:eastAsia="Calibri" w:hAnsi="Calibri" w:cs="Calibri"/>
                <w:color w:val="000000"/>
                <w:spacing w:val="0"/>
                <w:sz w:val="23"/>
                <w:szCs w:val="23"/>
              </w:rPr>
            </w:pPr>
            <w:r w:rsidRPr="15734CFB">
              <w:rPr>
                <w:rFonts w:ascii="Calibri" w:hAnsi="Calibri" w:cs="Calibri"/>
                <w:color w:val="000000" w:themeColor="text1"/>
                <w:sz w:val="23"/>
                <w:szCs w:val="23"/>
              </w:rPr>
              <w:t xml:space="preserve">Represent the program and The Mediation Center in the community.  This includes attending regular meetings with funders and referral sources as well as generally ensure the strong reputation of the program and building relationships and connections. </w:t>
            </w:r>
          </w:p>
          <w:p w14:paraId="51DD81D8" w14:textId="77777777" w:rsidR="003F1F18" w:rsidRPr="003712A5" w:rsidRDefault="003F1F18" w:rsidP="15734CFB">
            <w:pPr>
              <w:numPr>
                <w:ilvl w:val="0"/>
                <w:numId w:val="40"/>
              </w:numPr>
              <w:autoSpaceDE w:val="0"/>
              <w:autoSpaceDN w:val="0"/>
              <w:adjustRightInd w:val="0"/>
              <w:ind w:left="360"/>
              <w:jc w:val="left"/>
              <w:rPr>
                <w:color w:val="000000"/>
                <w:spacing w:val="0"/>
                <w:sz w:val="23"/>
                <w:szCs w:val="23"/>
              </w:rPr>
            </w:pPr>
            <w:r w:rsidRPr="003712A5">
              <w:rPr>
                <w:rFonts w:ascii="Calibri" w:hAnsi="Calibri" w:cs="Calibri"/>
                <w:color w:val="000000"/>
                <w:spacing w:val="0"/>
                <w:sz w:val="23"/>
                <w:szCs w:val="23"/>
              </w:rPr>
              <w:t>Keep detailed case files and records in accordance with funder and agency requirements.</w:t>
            </w:r>
          </w:p>
          <w:p w14:paraId="14C7E5D4" w14:textId="77777777" w:rsidR="003F1F18" w:rsidRPr="003712A5" w:rsidRDefault="003F1F18" w:rsidP="003712A5">
            <w:pPr>
              <w:numPr>
                <w:ilvl w:val="0"/>
                <w:numId w:val="40"/>
              </w:numPr>
              <w:autoSpaceDE w:val="0"/>
              <w:autoSpaceDN w:val="0"/>
              <w:adjustRightInd w:val="0"/>
              <w:ind w:left="360"/>
              <w:jc w:val="left"/>
              <w:rPr>
                <w:rFonts w:ascii="Calibri" w:hAnsi="Calibri" w:cs="Calibri"/>
                <w:color w:val="000000"/>
                <w:spacing w:val="0"/>
                <w:sz w:val="23"/>
                <w:szCs w:val="23"/>
              </w:rPr>
            </w:pPr>
            <w:r w:rsidRPr="003712A5">
              <w:rPr>
                <w:rFonts w:ascii="Calibri" w:hAnsi="Calibri" w:cs="Calibri"/>
                <w:color w:val="000000"/>
                <w:spacing w:val="0"/>
                <w:sz w:val="23"/>
                <w:szCs w:val="23"/>
              </w:rPr>
              <w:t>Serve as the task-supervisor and primary co-worker for an AmeriCorps member.</w:t>
            </w:r>
          </w:p>
          <w:p w14:paraId="5A39BBE3" w14:textId="77777777" w:rsidR="003F1F18" w:rsidRPr="003712A5" w:rsidRDefault="003F1F18" w:rsidP="003712A5">
            <w:pPr>
              <w:autoSpaceDE w:val="0"/>
              <w:autoSpaceDN w:val="0"/>
              <w:adjustRightInd w:val="0"/>
              <w:ind w:left="360"/>
              <w:jc w:val="left"/>
              <w:rPr>
                <w:rFonts w:ascii="Calibri" w:hAnsi="Calibri" w:cs="Calibri"/>
                <w:color w:val="000000"/>
                <w:spacing w:val="0"/>
                <w:sz w:val="23"/>
                <w:szCs w:val="23"/>
              </w:rPr>
            </w:pPr>
          </w:p>
          <w:p w14:paraId="4DF6682B" w14:textId="77777777" w:rsidR="003F1F18" w:rsidRPr="003712A5" w:rsidRDefault="003F1F18" w:rsidP="003712A5">
            <w:pPr>
              <w:autoSpaceDE w:val="0"/>
              <w:autoSpaceDN w:val="0"/>
              <w:adjustRightInd w:val="0"/>
              <w:jc w:val="left"/>
              <w:rPr>
                <w:rFonts w:ascii="Calibri" w:hAnsi="Calibri" w:cs="Calibri"/>
                <w:b/>
                <w:color w:val="000000"/>
                <w:spacing w:val="0"/>
                <w:sz w:val="23"/>
                <w:szCs w:val="23"/>
              </w:rPr>
            </w:pPr>
            <w:r w:rsidRPr="003712A5">
              <w:rPr>
                <w:rFonts w:ascii="Calibri" w:hAnsi="Calibri" w:cs="Calibri"/>
                <w:b/>
                <w:color w:val="000000"/>
                <w:spacing w:val="0"/>
                <w:sz w:val="23"/>
                <w:szCs w:val="23"/>
              </w:rPr>
              <w:t>Be a Member of the Team</w:t>
            </w:r>
          </w:p>
          <w:p w14:paraId="5CE155C8" w14:textId="77777777" w:rsidR="003F1F18" w:rsidRPr="003712A5" w:rsidRDefault="003F1F18" w:rsidP="003712A5">
            <w:pPr>
              <w:numPr>
                <w:ilvl w:val="0"/>
                <w:numId w:val="45"/>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Attend meetings, help with projects, do other tasks as needed, and generally be part of ensuring that the agency runs smoothly and meets its goals.   We value open communication and helpfulness.</w:t>
            </w:r>
          </w:p>
          <w:p w14:paraId="41C8F396"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p>
        </w:tc>
      </w:tr>
      <w:tr w:rsidR="003F1F18" w:rsidRPr="003712A5" w14:paraId="59BB239A" w14:textId="77777777" w:rsidTr="15734CFB">
        <w:trPr>
          <w:trHeight w:val="782"/>
        </w:trPr>
        <w:tc>
          <w:tcPr>
            <w:tcW w:w="1908" w:type="dxa"/>
            <w:shd w:val="clear" w:color="auto" w:fill="auto"/>
          </w:tcPr>
          <w:p w14:paraId="376AC534"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How we expect you to approach the work</w:t>
            </w:r>
          </w:p>
        </w:tc>
        <w:tc>
          <w:tcPr>
            <w:tcW w:w="9108" w:type="dxa"/>
            <w:shd w:val="clear" w:color="auto" w:fill="auto"/>
          </w:tcPr>
          <w:p w14:paraId="75720494" w14:textId="77777777" w:rsidR="003F1F18" w:rsidRPr="003712A5" w:rsidRDefault="003F1F18" w:rsidP="003712A5">
            <w:pPr>
              <w:numPr>
                <w:ilvl w:val="0"/>
                <w:numId w:val="41"/>
              </w:numPr>
              <w:autoSpaceDE w:val="0"/>
              <w:autoSpaceDN w:val="0"/>
              <w:adjustRightInd w:val="0"/>
              <w:jc w:val="left"/>
              <w:rPr>
                <w:rFonts w:ascii="Calibri" w:hAnsi="Calibri" w:cs="Calibri"/>
                <w:b/>
                <w:color w:val="000000"/>
                <w:spacing w:val="0"/>
                <w:sz w:val="23"/>
                <w:szCs w:val="23"/>
              </w:rPr>
            </w:pPr>
            <w:r w:rsidRPr="003712A5">
              <w:rPr>
                <w:rFonts w:ascii="Calibri" w:hAnsi="Calibri" w:cs="Calibri"/>
                <w:b/>
                <w:color w:val="000000"/>
                <w:spacing w:val="0"/>
                <w:sz w:val="23"/>
                <w:szCs w:val="23"/>
              </w:rPr>
              <w:t>100% follow-through</w:t>
            </w:r>
            <w:r w:rsidRPr="003712A5">
              <w:rPr>
                <w:rFonts w:ascii="Calibri" w:hAnsi="Calibri" w:cs="Calibri"/>
                <w:color w:val="000000"/>
                <w:spacing w:val="0"/>
                <w:sz w:val="23"/>
                <w:szCs w:val="23"/>
              </w:rPr>
              <w:t xml:space="preserve"> – stay on top of all specific tasks, follow-up items, and general areas of work.  Consistently meet deadlines and maintain a high level of organization and record-keeping.</w:t>
            </w:r>
          </w:p>
          <w:p w14:paraId="2780944B" w14:textId="77777777" w:rsidR="003F1F18" w:rsidRPr="003712A5" w:rsidRDefault="003F1F18" w:rsidP="003712A5">
            <w:pPr>
              <w:numPr>
                <w:ilvl w:val="0"/>
                <w:numId w:val="41"/>
              </w:numPr>
              <w:autoSpaceDE w:val="0"/>
              <w:autoSpaceDN w:val="0"/>
              <w:adjustRightInd w:val="0"/>
              <w:jc w:val="left"/>
              <w:rPr>
                <w:rFonts w:ascii="Calibri" w:hAnsi="Calibri" w:cs="Calibri"/>
                <w:b/>
                <w:color w:val="000000"/>
                <w:spacing w:val="0"/>
                <w:sz w:val="23"/>
                <w:szCs w:val="23"/>
              </w:rPr>
            </w:pPr>
            <w:r w:rsidRPr="003712A5">
              <w:rPr>
                <w:rFonts w:ascii="Calibri" w:hAnsi="Calibri" w:cs="Calibri"/>
                <w:b/>
                <w:color w:val="000000"/>
                <w:spacing w:val="0"/>
                <w:sz w:val="23"/>
                <w:szCs w:val="23"/>
              </w:rPr>
              <w:t>Positive attitude and flexibility</w:t>
            </w:r>
            <w:r w:rsidRPr="003712A5">
              <w:rPr>
                <w:rFonts w:ascii="Calibri" w:hAnsi="Calibri" w:cs="Calibri"/>
                <w:color w:val="000000"/>
                <w:spacing w:val="0"/>
                <w:sz w:val="23"/>
                <w:szCs w:val="23"/>
              </w:rPr>
              <w:t xml:space="preserve"> – working with schools, courts, families, government funders, and youth means that schedules, requirements, and opportunities are constantly changing. You’ll need to adapt quickly and move work forward through obstacles and inconveniences.</w:t>
            </w:r>
          </w:p>
          <w:p w14:paraId="36E96C06" w14:textId="77777777" w:rsidR="003F1F18" w:rsidRPr="003712A5" w:rsidRDefault="003F1F18" w:rsidP="003712A5">
            <w:pPr>
              <w:numPr>
                <w:ilvl w:val="0"/>
                <w:numId w:val="41"/>
              </w:numPr>
              <w:autoSpaceDE w:val="0"/>
              <w:autoSpaceDN w:val="0"/>
              <w:adjustRightInd w:val="0"/>
              <w:jc w:val="left"/>
              <w:rPr>
                <w:rFonts w:ascii="Calibri" w:hAnsi="Calibri" w:cs="Calibri"/>
                <w:b/>
                <w:color w:val="000000"/>
                <w:spacing w:val="0"/>
                <w:sz w:val="23"/>
                <w:szCs w:val="23"/>
              </w:rPr>
            </w:pPr>
            <w:r w:rsidRPr="003712A5">
              <w:rPr>
                <w:rFonts w:ascii="Calibri" w:hAnsi="Calibri" w:cs="Calibri"/>
                <w:b/>
                <w:color w:val="000000"/>
                <w:spacing w:val="0"/>
                <w:sz w:val="23"/>
                <w:szCs w:val="23"/>
              </w:rPr>
              <w:lastRenderedPageBreak/>
              <w:t>Attention to quality and model</w:t>
            </w:r>
            <w:r w:rsidRPr="003712A5">
              <w:rPr>
                <w:rFonts w:ascii="Calibri" w:hAnsi="Calibri" w:cs="Calibri"/>
                <w:color w:val="000000"/>
                <w:spacing w:val="0"/>
                <w:sz w:val="23"/>
                <w:szCs w:val="23"/>
              </w:rPr>
              <w:t xml:space="preserve"> </w:t>
            </w:r>
            <w:r w:rsidRPr="003712A5">
              <w:rPr>
                <w:rFonts w:ascii="Calibri" w:hAnsi="Calibri" w:cs="Calibri"/>
                <w:b/>
                <w:color w:val="000000"/>
                <w:spacing w:val="0"/>
                <w:sz w:val="23"/>
                <w:szCs w:val="23"/>
              </w:rPr>
              <w:t>fidelity</w:t>
            </w:r>
            <w:r w:rsidRPr="003712A5">
              <w:rPr>
                <w:rFonts w:ascii="Calibri" w:hAnsi="Calibri" w:cs="Calibri"/>
                <w:color w:val="000000"/>
                <w:spacing w:val="0"/>
                <w:sz w:val="23"/>
                <w:szCs w:val="23"/>
              </w:rPr>
              <w:t xml:space="preserve"> – We practice according to evidence-based and evidence-supported models.  You are expected to follow these models; your alignment will be regularly assessed.</w:t>
            </w:r>
          </w:p>
        </w:tc>
      </w:tr>
      <w:tr w:rsidR="003F1F18" w:rsidRPr="003712A5" w14:paraId="08A13D8F" w14:textId="77777777" w:rsidTr="15734CFB">
        <w:tc>
          <w:tcPr>
            <w:tcW w:w="1908" w:type="dxa"/>
            <w:shd w:val="clear" w:color="auto" w:fill="auto"/>
          </w:tcPr>
          <w:p w14:paraId="021822B2" w14:textId="77777777" w:rsidR="003F1F18" w:rsidRPr="003712A5" w:rsidRDefault="00B14FA4"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lastRenderedPageBreak/>
              <w:t xml:space="preserve">Supervisory Relationships </w:t>
            </w:r>
          </w:p>
        </w:tc>
        <w:tc>
          <w:tcPr>
            <w:tcW w:w="9108" w:type="dxa"/>
            <w:shd w:val="clear" w:color="auto" w:fill="auto"/>
          </w:tcPr>
          <w:p w14:paraId="7B585FAF" w14:textId="77777777" w:rsidR="003F1F18" w:rsidRPr="003712A5" w:rsidRDefault="00B14FA4" w:rsidP="003712A5">
            <w:pPr>
              <w:autoSpaceDE w:val="0"/>
              <w:autoSpaceDN w:val="0"/>
              <w:adjustRightInd w:val="0"/>
              <w:jc w:val="left"/>
              <w:rPr>
                <w:rFonts w:ascii="Calibri" w:hAnsi="Calibri" w:cs="Calibri"/>
                <w:bCs/>
                <w:color w:val="000000"/>
                <w:spacing w:val="0"/>
                <w:sz w:val="23"/>
                <w:szCs w:val="23"/>
              </w:rPr>
            </w:pPr>
            <w:r w:rsidRPr="003712A5">
              <w:rPr>
                <w:rFonts w:ascii="Calibri" w:hAnsi="Calibri" w:cs="Calibri"/>
                <w:bCs/>
                <w:color w:val="000000"/>
                <w:spacing w:val="0"/>
                <w:sz w:val="23"/>
                <w:szCs w:val="23"/>
              </w:rPr>
              <w:t>The Youth Mediation Coordinator reports to The Mediation Center’s Program Director.  The Coordinator provides day-to-day task supervision and support for a small team of youth peer mediators as well as one AmeriCorps member.</w:t>
            </w:r>
          </w:p>
        </w:tc>
      </w:tr>
      <w:tr w:rsidR="003F1F18" w:rsidRPr="003712A5" w14:paraId="1BB0EEFF" w14:textId="77777777" w:rsidTr="15734CFB">
        <w:trPr>
          <w:trHeight w:val="1205"/>
        </w:trPr>
        <w:tc>
          <w:tcPr>
            <w:tcW w:w="1908" w:type="dxa"/>
            <w:shd w:val="clear" w:color="auto" w:fill="auto"/>
          </w:tcPr>
          <w:p w14:paraId="5B0F4FBC"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Hours/Schedule</w:t>
            </w:r>
          </w:p>
        </w:tc>
        <w:tc>
          <w:tcPr>
            <w:tcW w:w="9108" w:type="dxa"/>
            <w:shd w:val="clear" w:color="auto" w:fill="auto"/>
          </w:tcPr>
          <w:p w14:paraId="3F95AD0A" w14:textId="77777777" w:rsidR="003F1F18" w:rsidRPr="003712A5" w:rsidRDefault="003F1F18" w:rsidP="003712A5">
            <w:pPr>
              <w:autoSpaceDE w:val="0"/>
              <w:autoSpaceDN w:val="0"/>
              <w:adjustRightInd w:val="0"/>
              <w:jc w:val="left"/>
              <w:rPr>
                <w:rFonts w:ascii="Calibri" w:hAnsi="Calibri" w:cs="Calibri"/>
                <w:b/>
                <w:color w:val="000000"/>
                <w:spacing w:val="0"/>
                <w:sz w:val="23"/>
                <w:szCs w:val="23"/>
              </w:rPr>
            </w:pPr>
            <w:r w:rsidRPr="003712A5">
              <w:rPr>
                <w:rFonts w:ascii="Calibri" w:hAnsi="Calibri" w:cs="Calibri"/>
                <w:color w:val="000000"/>
                <w:spacing w:val="0"/>
                <w:sz w:val="23"/>
                <w:szCs w:val="23"/>
              </w:rPr>
              <w:t>This is a full-time (40 hours/week) non-exempt position. Hours generally fall between 7:30am and 5pm.  Most services are provided during school hours.  There is some flexibility within those hours and this can be arranged with your supervisor on a weekly basis.  Occasional evenings are required.</w:t>
            </w:r>
          </w:p>
        </w:tc>
      </w:tr>
      <w:tr w:rsidR="003F1F18" w:rsidRPr="003712A5" w14:paraId="6F2717AF" w14:textId="77777777" w:rsidTr="15734CFB">
        <w:tc>
          <w:tcPr>
            <w:tcW w:w="1908" w:type="dxa"/>
            <w:shd w:val="clear" w:color="auto" w:fill="auto"/>
          </w:tcPr>
          <w:p w14:paraId="1488DC0D"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Compensation and benefits</w:t>
            </w:r>
          </w:p>
        </w:tc>
        <w:tc>
          <w:tcPr>
            <w:tcW w:w="9108" w:type="dxa"/>
            <w:shd w:val="clear" w:color="auto" w:fill="auto"/>
          </w:tcPr>
          <w:p w14:paraId="6D32E339" w14:textId="77777777" w:rsidR="003F1F18" w:rsidRPr="003712A5" w:rsidRDefault="004B23BF" w:rsidP="003712A5">
            <w:pPr>
              <w:numPr>
                <w:ilvl w:val="0"/>
                <w:numId w:val="46"/>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Starting salary range, depending on experience: $31,000 to $35,500</w:t>
            </w:r>
          </w:p>
          <w:p w14:paraId="44E69234" w14:textId="77777777" w:rsidR="003F1F18" w:rsidRPr="003712A5" w:rsidRDefault="003F1F18" w:rsidP="003712A5">
            <w:pPr>
              <w:numPr>
                <w:ilvl w:val="0"/>
                <w:numId w:val="46"/>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Health insurance 100% paid by the employer</w:t>
            </w:r>
          </w:p>
          <w:p w14:paraId="2582E311" w14:textId="77777777" w:rsidR="003F1F18" w:rsidRPr="003712A5" w:rsidRDefault="003F1F18" w:rsidP="003712A5">
            <w:pPr>
              <w:numPr>
                <w:ilvl w:val="0"/>
                <w:numId w:val="46"/>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Paid vacation, sick, and holidays –12 days vacation, 12 days sick, and 11 paid holidays.  Vacation time increases to 18 days per year after your first year.</w:t>
            </w:r>
          </w:p>
        </w:tc>
      </w:tr>
      <w:tr w:rsidR="003F1F18" w:rsidRPr="003712A5" w14:paraId="27602F49" w14:textId="77777777" w:rsidTr="15734CFB">
        <w:tc>
          <w:tcPr>
            <w:tcW w:w="1908" w:type="dxa"/>
            <w:shd w:val="clear" w:color="auto" w:fill="auto"/>
          </w:tcPr>
          <w:p w14:paraId="42ADA149"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Location and Travel</w:t>
            </w:r>
          </w:p>
        </w:tc>
        <w:tc>
          <w:tcPr>
            <w:tcW w:w="9108" w:type="dxa"/>
            <w:shd w:val="clear" w:color="auto" w:fill="auto"/>
          </w:tcPr>
          <w:p w14:paraId="393178A6" w14:textId="77777777" w:rsidR="003F1F18" w:rsidRPr="003712A5" w:rsidRDefault="003F1F18" w:rsidP="003712A5">
            <w:p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The primary location for this position is our Henderson County office in downtown Hendersonville. Several times a week, you are expected to travel to Transylvania and Buncombe Counties.  Work-related mileage (but not commute distance to Hendersonville) is reimbursed.</w:t>
            </w:r>
            <w:r w:rsidR="00946941" w:rsidRPr="003712A5">
              <w:rPr>
                <w:rFonts w:ascii="Calibri" w:hAnsi="Calibri" w:cs="Calibri"/>
                <w:color w:val="000000"/>
                <w:spacing w:val="0"/>
                <w:sz w:val="23"/>
                <w:szCs w:val="23"/>
              </w:rPr>
              <w:t xml:space="preserve">  Occasional out-of-town or overnight travel may be required up to a few times a year.</w:t>
            </w:r>
          </w:p>
        </w:tc>
      </w:tr>
      <w:tr w:rsidR="003F1F18" w:rsidRPr="003712A5" w14:paraId="7A1A7688" w14:textId="77777777" w:rsidTr="15734CFB">
        <w:tc>
          <w:tcPr>
            <w:tcW w:w="1908" w:type="dxa"/>
            <w:shd w:val="clear" w:color="auto" w:fill="auto"/>
          </w:tcPr>
          <w:p w14:paraId="3A0E018C" w14:textId="77777777" w:rsidR="003F1F18" w:rsidRPr="003712A5" w:rsidRDefault="003F1F18"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Requirements</w:t>
            </w:r>
          </w:p>
        </w:tc>
        <w:tc>
          <w:tcPr>
            <w:tcW w:w="9108" w:type="dxa"/>
            <w:shd w:val="clear" w:color="auto" w:fill="auto"/>
          </w:tcPr>
          <w:p w14:paraId="5318EB2F" w14:textId="77777777" w:rsidR="003F1F18" w:rsidRPr="003712A5" w:rsidRDefault="00B14FA4"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4-year d</w:t>
            </w:r>
            <w:r w:rsidR="00A834CF" w:rsidRPr="003712A5">
              <w:rPr>
                <w:rFonts w:ascii="Calibri" w:hAnsi="Calibri" w:cs="Calibri"/>
                <w:color w:val="000000"/>
                <w:spacing w:val="0"/>
                <w:sz w:val="23"/>
                <w:szCs w:val="23"/>
              </w:rPr>
              <w:t>egree</w:t>
            </w:r>
            <w:r w:rsidR="003F1F18" w:rsidRPr="003712A5">
              <w:rPr>
                <w:rFonts w:ascii="Calibri" w:hAnsi="Calibri" w:cs="Calibri"/>
                <w:color w:val="000000"/>
                <w:spacing w:val="0"/>
                <w:sz w:val="23"/>
                <w:szCs w:val="23"/>
              </w:rPr>
              <w:t xml:space="preserve"> in a human services field with one year of full-time experience working with at-risk youth, OR and equivalent combination of education and experience.</w:t>
            </w:r>
          </w:p>
          <w:p w14:paraId="737EA875" w14:textId="77777777" w:rsidR="003F1F18" w:rsidRPr="003712A5" w:rsidRDefault="003F1F18"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A valid North Carolina driver’s license and a car for use on all work days.</w:t>
            </w:r>
          </w:p>
          <w:p w14:paraId="61A078FB" w14:textId="77777777" w:rsidR="003F1F18"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 xml:space="preserve">You must meet the requirements of the school systems to enter the schools and work with youth. This means that some – but </w:t>
            </w:r>
            <w:r w:rsidR="00B14FA4" w:rsidRPr="003712A5">
              <w:rPr>
                <w:rFonts w:ascii="Calibri" w:hAnsi="Calibri" w:cs="Calibri"/>
                <w:color w:val="000000"/>
                <w:spacing w:val="0"/>
                <w:sz w:val="23"/>
                <w:szCs w:val="23"/>
              </w:rPr>
              <w:t xml:space="preserve">certainly not all - </w:t>
            </w:r>
            <w:r w:rsidRPr="003712A5">
              <w:rPr>
                <w:rFonts w:ascii="Calibri" w:hAnsi="Calibri" w:cs="Calibri"/>
                <w:color w:val="000000"/>
                <w:spacing w:val="0"/>
                <w:sz w:val="23"/>
                <w:szCs w:val="23"/>
              </w:rPr>
              <w:t xml:space="preserve"> prior criminal convictions may exclude you from this position.  The Mediation Center supports employment opportunities for people with prior justice system involvement, will consider each case individually, and will advocate for </w:t>
            </w:r>
            <w:r w:rsidR="00B14FA4" w:rsidRPr="003712A5">
              <w:rPr>
                <w:rFonts w:ascii="Calibri" w:hAnsi="Calibri" w:cs="Calibri"/>
                <w:color w:val="000000"/>
                <w:spacing w:val="0"/>
                <w:sz w:val="23"/>
                <w:szCs w:val="23"/>
              </w:rPr>
              <w:t>well-</w:t>
            </w:r>
            <w:r w:rsidRPr="003712A5">
              <w:rPr>
                <w:rFonts w:ascii="Calibri" w:hAnsi="Calibri" w:cs="Calibri"/>
                <w:color w:val="000000"/>
                <w:spacing w:val="0"/>
                <w:sz w:val="23"/>
                <w:szCs w:val="23"/>
              </w:rPr>
              <w:t>qualified candidates.  A criminal background check will not be conducted until after an offer of employment is made.</w:t>
            </w:r>
          </w:p>
          <w:p w14:paraId="0DC3025E"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Due to the COVID-19 pandemic, our staff are teleworking until further notice.  You must have the ability to telework including broadband internet access.  A laptop computer will be provided.</w:t>
            </w:r>
          </w:p>
          <w:p w14:paraId="09F27C0E" w14:textId="77777777" w:rsidR="00A834CF" w:rsidRPr="003712A5" w:rsidRDefault="00B14FA4"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The ability</w:t>
            </w:r>
            <w:r w:rsidR="00A834CF" w:rsidRPr="003712A5">
              <w:rPr>
                <w:rFonts w:ascii="Calibri" w:hAnsi="Calibri" w:cs="Calibri"/>
                <w:color w:val="000000"/>
                <w:spacing w:val="0"/>
                <w:sz w:val="23"/>
                <w:szCs w:val="23"/>
              </w:rPr>
              <w:t xml:space="preserve"> to see, hear, read, and write in English.</w:t>
            </w:r>
          </w:p>
          <w:p w14:paraId="77933F3F" w14:textId="77777777" w:rsidR="00A834CF" w:rsidRPr="003712A5" w:rsidRDefault="00B14FA4"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The ability to lift</w:t>
            </w:r>
            <w:r w:rsidR="00A834CF" w:rsidRPr="003712A5">
              <w:rPr>
                <w:rFonts w:ascii="Calibri" w:hAnsi="Calibri" w:cs="Calibri"/>
                <w:color w:val="000000"/>
                <w:spacing w:val="0"/>
                <w:sz w:val="23"/>
                <w:szCs w:val="23"/>
              </w:rPr>
              <w:t xml:space="preserve"> up to 20 pounds on an occasional basis.</w:t>
            </w:r>
          </w:p>
          <w:p w14:paraId="4A4C622C" w14:textId="77777777" w:rsidR="00A834CF" w:rsidRPr="003712A5" w:rsidRDefault="00B14FA4"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 xml:space="preserve">We are largely paperless, and this position requires a substantial amount of work on the computer on a daily basis.  You’ll be using a variety of programs including Office Suite, Office 365, a database, and several piece of cloud-based software.  The ability to learn fast and do basic trouble-shooting independently is a must. </w:t>
            </w:r>
          </w:p>
        </w:tc>
      </w:tr>
      <w:tr w:rsidR="00A834CF" w:rsidRPr="003712A5" w14:paraId="2785A95F" w14:textId="77777777" w:rsidTr="15734CFB">
        <w:tc>
          <w:tcPr>
            <w:tcW w:w="1908" w:type="dxa"/>
            <w:shd w:val="clear" w:color="auto" w:fill="auto"/>
          </w:tcPr>
          <w:p w14:paraId="171A6421" w14:textId="77777777" w:rsidR="00A834CF" w:rsidRPr="003712A5" w:rsidRDefault="00A834CF"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Desired Characteristics</w:t>
            </w:r>
          </w:p>
        </w:tc>
        <w:tc>
          <w:tcPr>
            <w:tcW w:w="9108" w:type="dxa"/>
            <w:shd w:val="clear" w:color="auto" w:fill="auto"/>
          </w:tcPr>
          <w:p w14:paraId="3917915C"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Because the COVID-19 pandemic is limiting our ability to provide training to new employees, we are strongly favoring candidates who have completed 50 hours of inclusive model (or similar) mediator training.</w:t>
            </w:r>
          </w:p>
          <w:p w14:paraId="30E54CB1"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Experience with and training in school attendance mediation</w:t>
            </w:r>
          </w:p>
          <w:p w14:paraId="0B89EFCC"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 xml:space="preserve">Significant experience working with youth, especially youth who are currently or formerly involved in the justice system. </w:t>
            </w:r>
          </w:p>
          <w:p w14:paraId="153E2C0F"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Fluency in Spanish is helpful but not required.</w:t>
            </w:r>
          </w:p>
          <w:p w14:paraId="04E8D099"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Experience working with community partners and accomplishing goals through collaboration and cooperation.</w:t>
            </w:r>
          </w:p>
          <w:p w14:paraId="587F9FF4" w14:textId="77777777" w:rsidR="00946941" w:rsidRPr="003712A5" w:rsidRDefault="00946941"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The Mediation Center is an equal opportunity employer. We value diversity and are committed to creating an inclusive environment for all employees.</w:t>
            </w:r>
          </w:p>
        </w:tc>
      </w:tr>
    </w:tbl>
    <w:p w14:paraId="72A3D3EC" w14:textId="77777777" w:rsidR="00946941" w:rsidRDefault="009469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8903"/>
      </w:tblGrid>
      <w:tr w:rsidR="00A834CF" w:rsidRPr="003712A5" w14:paraId="3D848DFB" w14:textId="77777777" w:rsidTr="003712A5">
        <w:tc>
          <w:tcPr>
            <w:tcW w:w="1908" w:type="dxa"/>
            <w:shd w:val="clear" w:color="auto" w:fill="auto"/>
          </w:tcPr>
          <w:p w14:paraId="0EB794AA" w14:textId="77777777" w:rsidR="00A834CF" w:rsidRPr="003712A5" w:rsidRDefault="00A834CF"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Application Instructions</w:t>
            </w:r>
          </w:p>
        </w:tc>
        <w:tc>
          <w:tcPr>
            <w:tcW w:w="9108" w:type="dxa"/>
            <w:shd w:val="clear" w:color="auto" w:fill="auto"/>
          </w:tcPr>
          <w:p w14:paraId="7CCAA279"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 xml:space="preserve">Please e-mail your resume and a cover letter to Laura Jeffords, Executive Director, at </w:t>
            </w:r>
            <w:hyperlink r:id="rId11" w:history="1">
              <w:r w:rsidRPr="003712A5">
                <w:rPr>
                  <w:rStyle w:val="Hyperlink"/>
                  <w:rFonts w:ascii="Calibri" w:hAnsi="Calibri" w:cs="Calibri"/>
                  <w:spacing w:val="0"/>
                  <w:sz w:val="23"/>
                  <w:szCs w:val="23"/>
                </w:rPr>
                <w:t>employment@mediatewnc.org</w:t>
              </w:r>
            </w:hyperlink>
            <w:r w:rsidRPr="003712A5">
              <w:rPr>
                <w:rFonts w:ascii="Calibri" w:hAnsi="Calibri" w:cs="Calibri"/>
                <w:color w:val="000000"/>
                <w:spacing w:val="0"/>
                <w:sz w:val="23"/>
                <w:szCs w:val="23"/>
              </w:rPr>
              <w:t>.  Please put the cover letter in the body of the e-mail.</w:t>
            </w:r>
          </w:p>
          <w:p w14:paraId="56BB66AF" w14:textId="77777777" w:rsidR="00A834CF" w:rsidRPr="003712A5" w:rsidRDefault="00A834CF" w:rsidP="003712A5">
            <w:pPr>
              <w:numPr>
                <w:ilvl w:val="0"/>
                <w:numId w:val="44"/>
              </w:num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We do not accept phone calls or drop-in visits about open positions.  We will respond to all candidates within three weeks. If you do not year back in that time you may follow up via e-mail.</w:t>
            </w:r>
          </w:p>
        </w:tc>
      </w:tr>
      <w:tr w:rsidR="00B14FA4" w:rsidRPr="003712A5" w14:paraId="2E48561F" w14:textId="77777777" w:rsidTr="003712A5">
        <w:tc>
          <w:tcPr>
            <w:tcW w:w="1908" w:type="dxa"/>
            <w:shd w:val="clear" w:color="auto" w:fill="auto"/>
          </w:tcPr>
          <w:p w14:paraId="553F2FC8" w14:textId="77777777" w:rsidR="00B14FA4" w:rsidRPr="003712A5" w:rsidRDefault="00B14FA4" w:rsidP="003712A5">
            <w:pPr>
              <w:autoSpaceDE w:val="0"/>
              <w:autoSpaceDN w:val="0"/>
              <w:adjustRightInd w:val="0"/>
              <w:jc w:val="left"/>
              <w:rPr>
                <w:rFonts w:ascii="Calibri" w:hAnsi="Calibri" w:cs="Calibri"/>
                <w:b/>
                <w:bCs/>
                <w:color w:val="000000"/>
                <w:spacing w:val="0"/>
                <w:sz w:val="23"/>
                <w:szCs w:val="23"/>
              </w:rPr>
            </w:pPr>
            <w:r w:rsidRPr="003712A5">
              <w:rPr>
                <w:rFonts w:ascii="Calibri" w:hAnsi="Calibri" w:cs="Calibri"/>
                <w:b/>
                <w:bCs/>
                <w:color w:val="000000"/>
                <w:spacing w:val="0"/>
                <w:sz w:val="23"/>
                <w:szCs w:val="23"/>
              </w:rPr>
              <w:t>Timeline</w:t>
            </w:r>
          </w:p>
        </w:tc>
        <w:tc>
          <w:tcPr>
            <w:tcW w:w="9108" w:type="dxa"/>
            <w:shd w:val="clear" w:color="auto" w:fill="auto"/>
          </w:tcPr>
          <w:p w14:paraId="0B6292C3" w14:textId="77777777" w:rsidR="00B14FA4" w:rsidRPr="003712A5" w:rsidRDefault="00B14FA4" w:rsidP="003712A5">
            <w:pPr>
              <w:autoSpaceDE w:val="0"/>
              <w:autoSpaceDN w:val="0"/>
              <w:adjustRightInd w:val="0"/>
              <w:jc w:val="left"/>
              <w:rPr>
                <w:rFonts w:ascii="Calibri" w:hAnsi="Calibri" w:cs="Calibri"/>
                <w:color w:val="000000"/>
                <w:spacing w:val="0"/>
                <w:sz w:val="23"/>
                <w:szCs w:val="23"/>
              </w:rPr>
            </w:pPr>
            <w:r w:rsidRPr="003712A5">
              <w:rPr>
                <w:rFonts w:ascii="Calibri" w:hAnsi="Calibri" w:cs="Calibri"/>
                <w:color w:val="000000"/>
                <w:spacing w:val="0"/>
                <w:sz w:val="23"/>
                <w:szCs w:val="23"/>
              </w:rPr>
              <w:t>Applications are accepted and reviewed on a rolling basis. Ideally, the candidate will start on at least a part-time telework basis by June 15, 2020, although earlier is ideal.  We anticipate you to be living locally and available for in-person, full-time work by July 1, 2020, although it is possible that telework could continue past that time.</w:t>
            </w:r>
          </w:p>
        </w:tc>
      </w:tr>
    </w:tbl>
    <w:p w14:paraId="0D0B940D" w14:textId="77777777" w:rsidR="003F1F18" w:rsidRPr="003712A5" w:rsidRDefault="003F1F18" w:rsidP="00B14FA4">
      <w:pPr>
        <w:autoSpaceDE w:val="0"/>
        <w:autoSpaceDN w:val="0"/>
        <w:adjustRightInd w:val="0"/>
        <w:jc w:val="left"/>
        <w:rPr>
          <w:rFonts w:ascii="Calibri" w:hAnsi="Calibri" w:cs="Calibri"/>
          <w:b/>
          <w:bCs/>
          <w:color w:val="000000"/>
          <w:spacing w:val="0"/>
          <w:sz w:val="23"/>
          <w:szCs w:val="23"/>
        </w:rPr>
      </w:pPr>
    </w:p>
    <w:p w14:paraId="0E27B00A" w14:textId="77777777" w:rsidR="001B5920" w:rsidRPr="003712A5" w:rsidRDefault="001B5920" w:rsidP="00B14FA4">
      <w:pPr>
        <w:autoSpaceDE w:val="0"/>
        <w:autoSpaceDN w:val="0"/>
        <w:adjustRightInd w:val="0"/>
        <w:jc w:val="left"/>
        <w:rPr>
          <w:rFonts w:ascii="Calibri" w:hAnsi="Calibri" w:cs="Calibri"/>
          <w:bCs/>
          <w:color w:val="000000"/>
          <w:spacing w:val="0"/>
          <w:sz w:val="23"/>
          <w:szCs w:val="23"/>
        </w:rPr>
      </w:pPr>
    </w:p>
    <w:sectPr w:rsidR="001B5920" w:rsidRPr="003712A5" w:rsidSect="001A5223">
      <w:headerReference w:type="default" r:id="rId12"/>
      <w:type w:val="continuous"/>
      <w:pgSz w:w="12240" w:h="15840" w:code="1"/>
      <w:pgMar w:top="720" w:right="720" w:bottom="720" w:left="720" w:header="960" w:footer="96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5A5" w14:textId="77777777" w:rsidR="003712A5" w:rsidRDefault="003712A5">
      <w:r>
        <w:separator/>
      </w:r>
    </w:p>
  </w:endnote>
  <w:endnote w:type="continuationSeparator" w:id="0">
    <w:p w14:paraId="3DEEC669" w14:textId="77777777" w:rsidR="003712A5" w:rsidRDefault="0037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1E4C" w14:textId="77777777" w:rsidR="003712A5" w:rsidRDefault="003712A5">
      <w:r>
        <w:separator/>
      </w:r>
    </w:p>
  </w:footnote>
  <w:footnote w:type="continuationSeparator" w:id="0">
    <w:p w14:paraId="44EAFD9C" w14:textId="77777777" w:rsidR="003712A5" w:rsidRDefault="003712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8ACA1" w14:textId="446602E0" w:rsidR="00496CE6" w:rsidRDefault="00496CE6">
    <w:pPr>
      <w:pStyle w:val="Header"/>
    </w:pPr>
    <w:r>
      <w:rPr>
        <w:rFonts w:ascii="Wingdings" w:eastAsia="Wingdings" w:hAnsi="Wingdings" w:cs="Wingdings"/>
      </w:rPr>
      <w:t></w:t>
    </w:r>
    <w:r>
      <w:t xml:space="preserve">  Page </w:t>
    </w:r>
    <w:r>
      <w:fldChar w:fldCharType="begin"/>
    </w:r>
    <w:r>
      <w:instrText xml:space="preserve"> PAGE \* Arabic \* MERGEFORMAT </w:instrText>
    </w:r>
    <w:r>
      <w:fldChar w:fldCharType="separate"/>
    </w:r>
    <w:r w:rsidR="00D81877">
      <w:rPr>
        <w:noProof/>
      </w:rPr>
      <w:t>2</w:t>
    </w:r>
    <w:r>
      <w:fldChar w:fldCharType="end"/>
    </w:r>
    <w:r>
      <w:tab/>
    </w:r>
    <w:r>
      <w:tab/>
    </w:r>
    <w:r>
      <w:fldChar w:fldCharType="begin"/>
    </w:r>
    <w:r>
      <w:instrText xml:space="preserve"> TIME \@ "MMMM d, yyyy" </w:instrText>
    </w:r>
    <w:r>
      <w:fldChar w:fldCharType="separate"/>
    </w:r>
    <w:r w:rsidR="00D81877">
      <w:rPr>
        <w:noProof/>
      </w:rPr>
      <w:t>April 28, 2020</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DA1C27"/>
    <w:multiLevelType w:val="hybridMultilevel"/>
    <w:tmpl w:val="496DFB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C7709A"/>
    <w:multiLevelType w:val="hybridMultilevel"/>
    <w:tmpl w:val="307A0F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4EE6A9"/>
    <w:multiLevelType w:val="hybridMultilevel"/>
    <w:tmpl w:val="D51D7C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23027"/>
    <w:multiLevelType w:val="hybridMultilevel"/>
    <w:tmpl w:val="23F2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62214"/>
    <w:multiLevelType w:val="hybridMultilevel"/>
    <w:tmpl w:val="1472BD38"/>
    <w:lvl w:ilvl="0" w:tplc="E2C6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280410"/>
    <w:multiLevelType w:val="hybridMultilevel"/>
    <w:tmpl w:val="1FF096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E57509E"/>
    <w:multiLevelType w:val="hybridMultilevel"/>
    <w:tmpl w:val="1874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A09E3"/>
    <w:multiLevelType w:val="hybridMultilevel"/>
    <w:tmpl w:val="398C3CFC"/>
    <w:lvl w:ilvl="0" w:tplc="4D3208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AF1570"/>
    <w:multiLevelType w:val="hybridMultilevel"/>
    <w:tmpl w:val="64B4DD2C"/>
    <w:lvl w:ilvl="0" w:tplc="52B8DD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EF48C2"/>
    <w:multiLevelType w:val="hybridMultilevel"/>
    <w:tmpl w:val="0854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15019"/>
    <w:multiLevelType w:val="hybridMultilevel"/>
    <w:tmpl w:val="35B00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332CA4"/>
    <w:multiLevelType w:val="hybridMultilevel"/>
    <w:tmpl w:val="8098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058FE"/>
    <w:multiLevelType w:val="hybridMultilevel"/>
    <w:tmpl w:val="B1BC0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F50828"/>
    <w:multiLevelType w:val="hybridMultilevel"/>
    <w:tmpl w:val="37D2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F14C6"/>
    <w:multiLevelType w:val="hybridMultilevel"/>
    <w:tmpl w:val="307ED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30481"/>
    <w:multiLevelType w:val="hybridMultilevel"/>
    <w:tmpl w:val="FAD2F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A6544"/>
    <w:multiLevelType w:val="hybridMultilevel"/>
    <w:tmpl w:val="6290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8" w15:restartNumberingAfterBreak="0">
    <w:nsid w:val="29C80D1F"/>
    <w:multiLevelType w:val="hybridMultilevel"/>
    <w:tmpl w:val="2B76D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42445B"/>
    <w:multiLevelType w:val="hybridMultilevel"/>
    <w:tmpl w:val="3AD20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005844"/>
    <w:multiLevelType w:val="hybridMultilevel"/>
    <w:tmpl w:val="68EA6A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E217BA"/>
    <w:multiLevelType w:val="hybridMultilevel"/>
    <w:tmpl w:val="D09C7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4626BC"/>
    <w:multiLevelType w:val="hybridMultilevel"/>
    <w:tmpl w:val="6640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70151"/>
    <w:multiLevelType w:val="hybridMultilevel"/>
    <w:tmpl w:val="B2FE3BC4"/>
    <w:lvl w:ilvl="0" w:tplc="8CFE82F0">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D087E3"/>
    <w:multiLevelType w:val="hybridMultilevel"/>
    <w:tmpl w:val="BAC520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400418"/>
    <w:multiLevelType w:val="hybridMultilevel"/>
    <w:tmpl w:val="9364F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3440B4"/>
    <w:multiLevelType w:val="hybridMultilevel"/>
    <w:tmpl w:val="D7404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5C23EA"/>
    <w:multiLevelType w:val="hybridMultilevel"/>
    <w:tmpl w:val="138A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4327E"/>
    <w:multiLevelType w:val="hybridMultilevel"/>
    <w:tmpl w:val="D9F6488E"/>
    <w:lvl w:ilvl="0" w:tplc="0FD488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11BFC"/>
    <w:multiLevelType w:val="hybridMultilevel"/>
    <w:tmpl w:val="8D28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96190B"/>
    <w:multiLevelType w:val="hybridMultilevel"/>
    <w:tmpl w:val="EFA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92F50"/>
    <w:multiLevelType w:val="hybridMultilevel"/>
    <w:tmpl w:val="AD3C7E10"/>
    <w:lvl w:ilvl="0" w:tplc="7050110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A667D"/>
    <w:multiLevelType w:val="hybridMultilevel"/>
    <w:tmpl w:val="3DA41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A7916F8"/>
    <w:multiLevelType w:val="hybridMultilevel"/>
    <w:tmpl w:val="7A1043DC"/>
    <w:lvl w:ilvl="0" w:tplc="7050110A">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3656D0"/>
    <w:multiLevelType w:val="hybridMultilevel"/>
    <w:tmpl w:val="7C147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E45D93"/>
    <w:multiLevelType w:val="hybridMultilevel"/>
    <w:tmpl w:val="3C96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7" w15:restartNumberingAfterBreak="0">
    <w:nsid w:val="6C08386F"/>
    <w:multiLevelType w:val="hybridMultilevel"/>
    <w:tmpl w:val="D95640AA"/>
    <w:lvl w:ilvl="0" w:tplc="FED0158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216A8D"/>
    <w:multiLevelType w:val="hybridMultilevel"/>
    <w:tmpl w:val="32765310"/>
    <w:lvl w:ilvl="0" w:tplc="708E5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EC3642"/>
    <w:multiLevelType w:val="hybridMultilevel"/>
    <w:tmpl w:val="9A80B8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1E53896"/>
    <w:multiLevelType w:val="hybridMultilevel"/>
    <w:tmpl w:val="3C04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E43D8"/>
    <w:multiLevelType w:val="hybridMultilevel"/>
    <w:tmpl w:val="F67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26154"/>
    <w:multiLevelType w:val="hybridMultilevel"/>
    <w:tmpl w:val="0226B3FA"/>
    <w:lvl w:ilvl="0" w:tplc="15DE636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8C1703"/>
    <w:multiLevelType w:val="hybridMultilevel"/>
    <w:tmpl w:val="A8E26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EC6ADA"/>
    <w:multiLevelType w:val="hybridMultilevel"/>
    <w:tmpl w:val="05C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11657"/>
    <w:multiLevelType w:val="hybridMultilevel"/>
    <w:tmpl w:val="8FF414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7"/>
  </w:num>
  <w:num w:numId="2">
    <w:abstractNumId w:val="36"/>
  </w:num>
  <w:num w:numId="3">
    <w:abstractNumId w:val="10"/>
  </w:num>
  <w:num w:numId="4">
    <w:abstractNumId w:val="7"/>
  </w:num>
  <w:num w:numId="5">
    <w:abstractNumId w:val="37"/>
  </w:num>
  <w:num w:numId="6">
    <w:abstractNumId w:val="8"/>
  </w:num>
  <w:num w:numId="7">
    <w:abstractNumId w:val="23"/>
  </w:num>
  <w:num w:numId="8">
    <w:abstractNumId w:val="42"/>
  </w:num>
  <w:num w:numId="9">
    <w:abstractNumId w:val="0"/>
  </w:num>
  <w:num w:numId="10">
    <w:abstractNumId w:val="20"/>
  </w:num>
  <w:num w:numId="11">
    <w:abstractNumId w:val="2"/>
  </w:num>
  <w:num w:numId="12">
    <w:abstractNumId w:val="24"/>
  </w:num>
  <w:num w:numId="13">
    <w:abstractNumId w:val="1"/>
  </w:num>
  <w:num w:numId="14">
    <w:abstractNumId w:val="28"/>
  </w:num>
  <w:num w:numId="15">
    <w:abstractNumId w:val="44"/>
  </w:num>
  <w:num w:numId="16">
    <w:abstractNumId w:val="29"/>
  </w:num>
  <w:num w:numId="17">
    <w:abstractNumId w:val="22"/>
  </w:num>
  <w:num w:numId="18">
    <w:abstractNumId w:val="26"/>
  </w:num>
  <w:num w:numId="19">
    <w:abstractNumId w:val="11"/>
  </w:num>
  <w:num w:numId="20">
    <w:abstractNumId w:val="13"/>
  </w:num>
  <w:num w:numId="21">
    <w:abstractNumId w:val="14"/>
  </w:num>
  <w:num w:numId="22">
    <w:abstractNumId w:val="18"/>
  </w:num>
  <w:num w:numId="23">
    <w:abstractNumId w:val="25"/>
  </w:num>
  <w:num w:numId="24">
    <w:abstractNumId w:val="4"/>
  </w:num>
  <w:num w:numId="25">
    <w:abstractNumId w:val="43"/>
  </w:num>
  <w:num w:numId="26">
    <w:abstractNumId w:val="33"/>
  </w:num>
  <w:num w:numId="27">
    <w:abstractNumId w:val="16"/>
  </w:num>
  <w:num w:numId="28">
    <w:abstractNumId w:val="30"/>
  </w:num>
  <w:num w:numId="29">
    <w:abstractNumId w:val="31"/>
  </w:num>
  <w:num w:numId="30">
    <w:abstractNumId w:val="5"/>
  </w:num>
  <w:num w:numId="31">
    <w:abstractNumId w:val="41"/>
  </w:num>
  <w:num w:numId="32">
    <w:abstractNumId w:val="12"/>
  </w:num>
  <w:num w:numId="33">
    <w:abstractNumId w:val="34"/>
  </w:num>
  <w:num w:numId="34">
    <w:abstractNumId w:val="38"/>
  </w:num>
  <w:num w:numId="35">
    <w:abstractNumId w:val="27"/>
  </w:num>
  <w:num w:numId="36">
    <w:abstractNumId w:val="32"/>
  </w:num>
  <w:num w:numId="37">
    <w:abstractNumId w:val="35"/>
  </w:num>
  <w:num w:numId="38">
    <w:abstractNumId w:val="40"/>
  </w:num>
  <w:num w:numId="39">
    <w:abstractNumId w:val="6"/>
  </w:num>
  <w:num w:numId="40">
    <w:abstractNumId w:val="39"/>
  </w:num>
  <w:num w:numId="41">
    <w:abstractNumId w:val="21"/>
  </w:num>
  <w:num w:numId="42">
    <w:abstractNumId w:val="9"/>
  </w:num>
  <w:num w:numId="43">
    <w:abstractNumId w:val="45"/>
  </w:num>
  <w:num w:numId="44">
    <w:abstractNumId w:val="19"/>
  </w:num>
  <w:num w:numId="45">
    <w:abstractNumId w:val="1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B2"/>
    <w:rsid w:val="000005EA"/>
    <w:rsid w:val="000102B7"/>
    <w:rsid w:val="00041F13"/>
    <w:rsid w:val="0008425C"/>
    <w:rsid w:val="0008608C"/>
    <w:rsid w:val="000B03F6"/>
    <w:rsid w:val="000B4A34"/>
    <w:rsid w:val="000D06FE"/>
    <w:rsid w:val="000E6495"/>
    <w:rsid w:val="0010533D"/>
    <w:rsid w:val="001053D3"/>
    <w:rsid w:val="00137003"/>
    <w:rsid w:val="00140EE8"/>
    <w:rsid w:val="00141A91"/>
    <w:rsid w:val="00152BFC"/>
    <w:rsid w:val="0016076B"/>
    <w:rsid w:val="00170613"/>
    <w:rsid w:val="001920E6"/>
    <w:rsid w:val="001A4813"/>
    <w:rsid w:val="001A5223"/>
    <w:rsid w:val="001B5920"/>
    <w:rsid w:val="001E24FB"/>
    <w:rsid w:val="001E5803"/>
    <w:rsid w:val="0022441D"/>
    <w:rsid w:val="002323B9"/>
    <w:rsid w:val="002363BF"/>
    <w:rsid w:val="00245AB4"/>
    <w:rsid w:val="00250557"/>
    <w:rsid w:val="00263D94"/>
    <w:rsid w:val="00273CC7"/>
    <w:rsid w:val="00295AF8"/>
    <w:rsid w:val="00334052"/>
    <w:rsid w:val="003360DA"/>
    <w:rsid w:val="00343ECB"/>
    <w:rsid w:val="003477B5"/>
    <w:rsid w:val="00361FB9"/>
    <w:rsid w:val="00370AB4"/>
    <w:rsid w:val="003712A5"/>
    <w:rsid w:val="00383B75"/>
    <w:rsid w:val="003862E9"/>
    <w:rsid w:val="003B296D"/>
    <w:rsid w:val="003B4444"/>
    <w:rsid w:val="003C04AB"/>
    <w:rsid w:val="003F1F18"/>
    <w:rsid w:val="003F6D29"/>
    <w:rsid w:val="00430726"/>
    <w:rsid w:val="0043360B"/>
    <w:rsid w:val="004349DA"/>
    <w:rsid w:val="0045619A"/>
    <w:rsid w:val="00463400"/>
    <w:rsid w:val="004639AD"/>
    <w:rsid w:val="0047619C"/>
    <w:rsid w:val="00496CE6"/>
    <w:rsid w:val="004B23BF"/>
    <w:rsid w:val="004B7188"/>
    <w:rsid w:val="004C3BB2"/>
    <w:rsid w:val="004D7387"/>
    <w:rsid w:val="004D75E6"/>
    <w:rsid w:val="004E729C"/>
    <w:rsid w:val="004F4627"/>
    <w:rsid w:val="004F4CEC"/>
    <w:rsid w:val="0051601C"/>
    <w:rsid w:val="005224EB"/>
    <w:rsid w:val="0053347F"/>
    <w:rsid w:val="00566A08"/>
    <w:rsid w:val="005935B9"/>
    <w:rsid w:val="005B4BE8"/>
    <w:rsid w:val="005D6E68"/>
    <w:rsid w:val="005E6F98"/>
    <w:rsid w:val="005F31EF"/>
    <w:rsid w:val="00610101"/>
    <w:rsid w:val="00615F8E"/>
    <w:rsid w:val="00624206"/>
    <w:rsid w:val="0062713D"/>
    <w:rsid w:val="00677436"/>
    <w:rsid w:val="006834E6"/>
    <w:rsid w:val="00690CD3"/>
    <w:rsid w:val="006916CD"/>
    <w:rsid w:val="006958F6"/>
    <w:rsid w:val="006A39B3"/>
    <w:rsid w:val="006C5136"/>
    <w:rsid w:val="006C51F2"/>
    <w:rsid w:val="006E692D"/>
    <w:rsid w:val="006F2A1E"/>
    <w:rsid w:val="007005B2"/>
    <w:rsid w:val="007054C9"/>
    <w:rsid w:val="007177E9"/>
    <w:rsid w:val="00720469"/>
    <w:rsid w:val="00722F4C"/>
    <w:rsid w:val="0073000A"/>
    <w:rsid w:val="00735BCC"/>
    <w:rsid w:val="00753C6A"/>
    <w:rsid w:val="00761625"/>
    <w:rsid w:val="007725F6"/>
    <w:rsid w:val="00775DAD"/>
    <w:rsid w:val="007967E3"/>
    <w:rsid w:val="007A2B7F"/>
    <w:rsid w:val="007B5134"/>
    <w:rsid w:val="007D59BA"/>
    <w:rsid w:val="00821E9E"/>
    <w:rsid w:val="008C6794"/>
    <w:rsid w:val="008F38C3"/>
    <w:rsid w:val="00907580"/>
    <w:rsid w:val="00916774"/>
    <w:rsid w:val="009261B9"/>
    <w:rsid w:val="00926C64"/>
    <w:rsid w:val="00941A66"/>
    <w:rsid w:val="00946941"/>
    <w:rsid w:val="009512B5"/>
    <w:rsid w:val="00972C60"/>
    <w:rsid w:val="009A0260"/>
    <w:rsid w:val="009B2D69"/>
    <w:rsid w:val="009D76E1"/>
    <w:rsid w:val="009E0D8A"/>
    <w:rsid w:val="009F1D8A"/>
    <w:rsid w:val="00A17B6B"/>
    <w:rsid w:val="00A20D55"/>
    <w:rsid w:val="00A3520B"/>
    <w:rsid w:val="00A4379B"/>
    <w:rsid w:val="00A5486E"/>
    <w:rsid w:val="00A55F0B"/>
    <w:rsid w:val="00A650BA"/>
    <w:rsid w:val="00A71A8A"/>
    <w:rsid w:val="00A77B67"/>
    <w:rsid w:val="00A834CF"/>
    <w:rsid w:val="00A87AA3"/>
    <w:rsid w:val="00AA6072"/>
    <w:rsid w:val="00AF3D54"/>
    <w:rsid w:val="00B1282C"/>
    <w:rsid w:val="00B14FA4"/>
    <w:rsid w:val="00B1590D"/>
    <w:rsid w:val="00B17202"/>
    <w:rsid w:val="00B17F5F"/>
    <w:rsid w:val="00B21334"/>
    <w:rsid w:val="00B22173"/>
    <w:rsid w:val="00B315F0"/>
    <w:rsid w:val="00B3761A"/>
    <w:rsid w:val="00B4650D"/>
    <w:rsid w:val="00B604EC"/>
    <w:rsid w:val="00B66B98"/>
    <w:rsid w:val="00B74AAB"/>
    <w:rsid w:val="00B82FA3"/>
    <w:rsid w:val="00B84C26"/>
    <w:rsid w:val="00B96EB3"/>
    <w:rsid w:val="00BA01DF"/>
    <w:rsid w:val="00BA781A"/>
    <w:rsid w:val="00BB0C7B"/>
    <w:rsid w:val="00BD34E5"/>
    <w:rsid w:val="00BE7294"/>
    <w:rsid w:val="00BE7325"/>
    <w:rsid w:val="00BF383E"/>
    <w:rsid w:val="00C10881"/>
    <w:rsid w:val="00C11590"/>
    <w:rsid w:val="00C27FCF"/>
    <w:rsid w:val="00C3086D"/>
    <w:rsid w:val="00C3485A"/>
    <w:rsid w:val="00C34D5F"/>
    <w:rsid w:val="00C427FB"/>
    <w:rsid w:val="00C60AB9"/>
    <w:rsid w:val="00C6246D"/>
    <w:rsid w:val="00C64FCB"/>
    <w:rsid w:val="00C82721"/>
    <w:rsid w:val="00C92A3F"/>
    <w:rsid w:val="00C94EDD"/>
    <w:rsid w:val="00CD0DF6"/>
    <w:rsid w:val="00CE0D9C"/>
    <w:rsid w:val="00D06D3B"/>
    <w:rsid w:val="00D12D4A"/>
    <w:rsid w:val="00D27622"/>
    <w:rsid w:val="00D3769A"/>
    <w:rsid w:val="00D46083"/>
    <w:rsid w:val="00D750AA"/>
    <w:rsid w:val="00D81877"/>
    <w:rsid w:val="00D82521"/>
    <w:rsid w:val="00D86677"/>
    <w:rsid w:val="00DA3EEE"/>
    <w:rsid w:val="00DB1E0E"/>
    <w:rsid w:val="00DC0FF0"/>
    <w:rsid w:val="00DD0E1B"/>
    <w:rsid w:val="00DF276B"/>
    <w:rsid w:val="00E36FC4"/>
    <w:rsid w:val="00E40C55"/>
    <w:rsid w:val="00E72A94"/>
    <w:rsid w:val="00E77983"/>
    <w:rsid w:val="00E82043"/>
    <w:rsid w:val="00E8238F"/>
    <w:rsid w:val="00EA3D76"/>
    <w:rsid w:val="00EA3EA9"/>
    <w:rsid w:val="00EC3904"/>
    <w:rsid w:val="00EC497B"/>
    <w:rsid w:val="00ED3CD8"/>
    <w:rsid w:val="00F559D3"/>
    <w:rsid w:val="00F56529"/>
    <w:rsid w:val="00F673D0"/>
    <w:rsid w:val="00F722E4"/>
    <w:rsid w:val="00F93666"/>
    <w:rsid w:val="00FC0EB7"/>
    <w:rsid w:val="00FC2DCB"/>
    <w:rsid w:val="00FF406F"/>
    <w:rsid w:val="00FF57F0"/>
    <w:rsid w:val="15734CFB"/>
    <w:rsid w:val="2521F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8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NormalWeb">
    <w:name w:val="Normal (Web)"/>
    <w:basedOn w:val="Normal"/>
    <w:rsid w:val="004D7387"/>
    <w:pPr>
      <w:spacing w:before="100" w:beforeAutospacing="1" w:after="100" w:afterAutospacing="1"/>
      <w:jc w:val="left"/>
    </w:pPr>
    <w:rPr>
      <w:rFonts w:ascii="Times New Roman" w:hAnsi="Times New Roman"/>
      <w:color w:val="000000"/>
      <w:spacing w:val="0"/>
      <w:sz w:val="24"/>
      <w:szCs w:val="24"/>
    </w:rPr>
  </w:style>
  <w:style w:type="paragraph" w:styleId="Title">
    <w:name w:val="Title"/>
    <w:basedOn w:val="Normal"/>
    <w:qFormat/>
    <w:rsid w:val="00A650BA"/>
    <w:pPr>
      <w:jc w:val="center"/>
    </w:pPr>
    <w:rPr>
      <w:rFonts w:ascii="Arial Narrow" w:hAnsi="Arial Narrow"/>
      <w:b/>
      <w:bCs/>
      <w:spacing w:val="0"/>
      <w:sz w:val="24"/>
      <w:szCs w:val="24"/>
    </w:rPr>
  </w:style>
  <w:style w:type="table" w:styleId="TableGrid">
    <w:name w:val="Table Grid"/>
    <w:basedOn w:val="TableNormal"/>
    <w:rsid w:val="00A6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5E6"/>
    <w:pPr>
      <w:autoSpaceDE w:val="0"/>
      <w:autoSpaceDN w:val="0"/>
      <w:adjustRightInd w:val="0"/>
    </w:pPr>
    <w:rPr>
      <w:color w:val="000000"/>
      <w:sz w:val="24"/>
      <w:szCs w:val="24"/>
      <w:lang w:eastAsia="en-US"/>
    </w:rPr>
  </w:style>
  <w:style w:type="character" w:styleId="Hyperlink">
    <w:name w:val="Hyperlink"/>
    <w:rsid w:val="001B59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ployment@mediatewnc.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5E8DB53B9F44E91FE1887789A404D" ma:contentTypeVersion="14" ma:contentTypeDescription="Create a new document." ma:contentTypeScope="" ma:versionID="42c75500f4575da0b2b51157252659ba">
  <xsd:schema xmlns:xsd="http://www.w3.org/2001/XMLSchema" xmlns:xs="http://www.w3.org/2001/XMLSchema" xmlns:p="http://schemas.microsoft.com/office/2006/metadata/properties" xmlns:ns2="f95b966a-2001-480f-8d72-e8646f43b96c" xmlns:ns3="fcedac70-6ea6-4d7d-9092-44efb87742b5" targetNamespace="http://schemas.microsoft.com/office/2006/metadata/properties" ma:root="true" ma:fieldsID="023e9920831b667caf79eeef21d07e2c" ns2:_="" ns3:_="">
    <xsd:import namespace="f95b966a-2001-480f-8d72-e8646f43b96c"/>
    <xsd:import namespace="fcedac70-6ea6-4d7d-9092-44efb87742b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b966a-2001-480f-8d72-e8646f43b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edac70-6ea6-4d7d-9092-44efb87742b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E51D09A-F02A-43A1-90FC-0AEA95B56199}">
  <ds:schemaRefs>
    <ds:schemaRef ds:uri="http://schemas.microsoft.com/sharepoint/v3/contenttype/forms"/>
  </ds:schemaRefs>
</ds:datastoreItem>
</file>

<file path=customXml/itemProps2.xml><?xml version="1.0" encoding="utf-8"?>
<ds:datastoreItem xmlns:ds="http://schemas.openxmlformats.org/officeDocument/2006/customXml" ds:itemID="{40BB0A41-7A5D-491A-BA74-EFB5F51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b966a-2001-480f-8d72-e8646f43b96c"/>
    <ds:schemaRef ds:uri="fcedac70-6ea6-4d7d-9092-44efb8774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0FFE6-DB42-4268-93CB-15C6659D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cp:lastModifiedBy/>
  <cp:revision>1</cp:revision>
  <cp:lastPrinted>2008-10-23T00:29:00Z</cp:lastPrinted>
  <dcterms:created xsi:type="dcterms:W3CDTF">2020-04-28T18:02:00Z</dcterms:created>
  <dcterms:modified xsi:type="dcterms:W3CDTF">2020-04-28T18:02:00Z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